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2EE0C5">
      <w:pPr>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附件十六-3  电线、电缆的价差调整方式为：</w:t>
      </w:r>
    </w:p>
    <w:p w14:paraId="3371ADB5">
      <w:pPr>
        <w:rPr>
          <w:rFonts w:hint="eastAsia" w:ascii="仿宋" w:hAnsi="仿宋" w:eastAsia="仿宋" w:cs="仿宋"/>
          <w:color w:val="FF0000"/>
          <w:sz w:val="24"/>
          <w:lang w:val="en-US" w:eastAsia="zh-CN"/>
        </w:rPr>
      </w:pPr>
      <w:r>
        <w:rPr>
          <w:rFonts w:hint="eastAsia" w:ascii="仿宋" w:hAnsi="仿宋" w:eastAsia="仿宋" w:cs="仿宋"/>
          <w:color w:val="FF0000"/>
          <w:sz w:val="24"/>
          <w:lang w:val="en-US" w:eastAsia="zh-CN"/>
        </w:rPr>
        <w:t>（当主要材料价格涨跌幅度超过10%时，可以调价。承包方承担涨幅10%以内(含 10%)部分，超出10%~20%(含20%)的部分由发、承包双方各承担50%，涨幅超过20%的部分由发包方承担。跌幅10%以内(含10%)部分由发包方承担，超出10%~20%(含20%)的部分由发、承包双方各承担 50%，跌幅超过 20%的部分由承包方退回发包方)</w:t>
      </w:r>
      <w:r>
        <w:rPr>
          <w:rFonts w:ascii="宋体" w:hAnsi="宋体" w:cs="宋体"/>
          <w:color w:val="000000" w:themeColor="text1"/>
          <w:szCs w:val="21"/>
          <w:highlight w:val="none"/>
          <w14:textFill>
            <w14:solidFill>
              <w14:schemeClr w14:val="tx1"/>
            </w14:solidFill>
          </w14:textFill>
        </w:rPr>
        <w:t>材料价差调整方式</w:t>
      </w:r>
      <w:r>
        <w:rPr>
          <w:rFonts w:hint="eastAsia" w:ascii="宋体" w:hAnsi="宋体" w:cs="宋体"/>
          <w:color w:val="000000" w:themeColor="text1"/>
          <w:szCs w:val="21"/>
          <w:highlight w:val="none"/>
          <w:u w:val="none"/>
          <w:lang w:eastAsia="zh-CN"/>
          <w14:textFill>
            <w14:solidFill>
              <w14:schemeClr w14:val="tx1"/>
            </w14:solidFill>
          </w14:textFill>
        </w:rPr>
        <w:t>（</w:t>
      </w:r>
      <w:r>
        <w:rPr>
          <w:rFonts w:hint="eastAsia" w:ascii="宋体" w:hAnsi="宋体" w:cs="宋体"/>
          <w:color w:val="000000" w:themeColor="text1"/>
          <w:szCs w:val="21"/>
          <w:highlight w:val="none"/>
          <w:u w:val="none"/>
          <w:lang w:val="en-US" w:eastAsia="zh-CN"/>
          <w14:textFill>
            <w14:solidFill>
              <w14:schemeClr w14:val="tx1"/>
            </w14:solidFill>
          </w14:textFill>
        </w:rPr>
        <w:t>价格调整以上述原则为准，如下面公式或表述冲突，以上述调整原则为准</w:t>
      </w:r>
      <w:r>
        <w:rPr>
          <w:rFonts w:hint="eastAsia" w:ascii="宋体" w:hAnsi="宋体" w:cs="宋体"/>
          <w:color w:val="000000" w:themeColor="text1"/>
          <w:szCs w:val="21"/>
          <w:highlight w:val="none"/>
          <w:u w:val="none"/>
          <w:lang w:eastAsia="zh-CN"/>
          <w14:textFill>
            <w14:solidFill>
              <w14:schemeClr w14:val="tx1"/>
            </w14:solidFill>
          </w14:textFill>
        </w:rPr>
        <w:t>）</w:t>
      </w:r>
      <w:r>
        <w:rPr>
          <w:rFonts w:ascii="宋体" w:hAnsi="宋体" w:cs="宋体"/>
          <w:color w:val="000000" w:themeColor="text1"/>
          <w:szCs w:val="21"/>
          <w:highlight w:val="none"/>
          <w14:textFill>
            <w14:solidFill>
              <w14:schemeClr w14:val="tx1"/>
            </w14:solidFill>
          </w14:textFill>
        </w:rPr>
        <w:t>：</w:t>
      </w:r>
    </w:p>
    <w:p w14:paraId="4F6718A0">
      <w:pPr>
        <w:keepNext w:val="0"/>
        <w:keepLines w:val="0"/>
        <w:widowControl/>
        <w:numPr>
          <w:ilvl w:val="0"/>
          <w:numId w:val="0"/>
        </w:numPr>
        <w:suppressLineNumbers w:val="0"/>
        <w:pBdr>
          <w:left w:val="none" w:color="auto" w:sz="0" w:space="0"/>
        </w:pBdr>
        <w:spacing w:before="0" w:beforeAutospacing="0" w:after="0" w:afterAutospacing="0" w:line="19" w:lineRule="atLeast"/>
        <w:rPr>
          <w:rFonts w:hint="eastAsia" w:ascii="仿宋" w:hAnsi="仿宋" w:eastAsia="仿宋" w:cs="仿宋"/>
          <w:sz w:val="24"/>
          <w:szCs w:val="24"/>
        </w:rPr>
      </w:pPr>
      <w:r>
        <w:rPr>
          <w:rFonts w:hint="eastAsia" w:ascii="仿宋" w:hAnsi="仿宋" w:eastAsia="仿宋" w:cs="仿宋"/>
          <w:b/>
          <w:bCs/>
          <w:sz w:val="24"/>
          <w:szCs w:val="24"/>
        </w:rPr>
        <w:t>调整触发条件</w:t>
      </w:r>
      <w:r>
        <w:rPr>
          <w:rFonts w:hint="eastAsia" w:ascii="仿宋" w:hAnsi="仿宋" w:eastAsia="仿宋" w:cs="仿宋"/>
          <w:sz w:val="24"/>
          <w:szCs w:val="24"/>
        </w:rPr>
        <w:t>：合同履行期间，以 “上海有色网（</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"http://www.smm.cn/" \t "_blank" </w:instrText>
      </w:r>
      <w:r>
        <w:rPr>
          <w:rFonts w:hint="eastAsia" w:ascii="仿宋" w:hAnsi="仿宋" w:eastAsia="仿宋" w:cs="仿宋"/>
          <w:sz w:val="24"/>
          <w:szCs w:val="24"/>
        </w:rPr>
        <w:fldChar w:fldCharType="separate"/>
      </w:r>
      <w:r>
        <w:rPr>
          <w:rStyle w:val="5"/>
          <w:rFonts w:hint="eastAsia" w:ascii="仿宋" w:hAnsi="仿宋" w:eastAsia="仿宋" w:cs="仿宋"/>
          <w:sz w:val="24"/>
          <w:szCs w:val="24"/>
        </w:rPr>
        <w:t>http://www.smm.cn/</w:t>
      </w:r>
      <w:r>
        <w:rPr>
          <w:rFonts w:hint="eastAsia" w:ascii="仿宋" w:hAnsi="仿宋" w:eastAsia="仿宋" w:cs="仿宋"/>
          <w:sz w:val="24"/>
          <w:szCs w:val="24"/>
        </w:rPr>
        <w:fldChar w:fldCharType="end"/>
      </w:r>
      <w:r>
        <w:rPr>
          <w:rFonts w:hint="eastAsia" w:ascii="仿宋" w:hAnsi="仿宋" w:eastAsia="仿宋" w:cs="仿宋"/>
          <w:sz w:val="24"/>
          <w:szCs w:val="24"/>
        </w:rPr>
        <w:t>）” 公布的 1# 电解铜月平均税前价格为依据，当施工当月价格（Mn）与 2025 年</w:t>
      </w:r>
      <w:r>
        <w:rPr>
          <w:rFonts w:hint="eastAsia" w:ascii="仿宋" w:hAnsi="仿宋" w:eastAsia="仿宋" w:cs="仿宋"/>
          <w:sz w:val="24"/>
          <w:szCs w:val="24"/>
          <w:lang w:val="en-US" w:eastAsia="zh-CN"/>
        </w:rPr>
        <w:t>6</w:t>
      </w:r>
      <w:r>
        <w:rPr>
          <w:rFonts w:hint="eastAsia" w:ascii="仿宋" w:hAnsi="仿宋" w:eastAsia="仿宋" w:cs="仿宋"/>
          <w:sz w:val="24"/>
          <w:szCs w:val="24"/>
        </w:rPr>
        <w:t xml:space="preserve"> 月基准价格（Mo）相比，涨跌幅超过 10%（不含 10%）时，启动价差调整。</w:t>
      </w:r>
    </w:p>
    <w:p w14:paraId="51F1FFB2">
      <w:pPr>
        <w:keepNext w:val="0"/>
        <w:keepLines w:val="0"/>
        <w:widowControl/>
        <w:numPr>
          <w:ilvl w:val="0"/>
          <w:numId w:val="0"/>
        </w:numPr>
        <w:suppressLineNumbers w:val="0"/>
        <w:pBdr>
          <w:left w:val="none" w:color="auto" w:sz="0" w:space="0"/>
        </w:pBdr>
        <w:spacing w:before="0" w:beforeAutospacing="0" w:after="0" w:afterAutospacing="0" w:line="19" w:lineRule="atLeast"/>
        <w:ind w:left="-360" w:leftChars="0" w:firstLine="241" w:firstLineChars="100"/>
        <w:rPr>
          <w:rFonts w:hint="eastAsia" w:ascii="仿宋" w:hAnsi="仿宋" w:eastAsia="仿宋" w:cs="仿宋"/>
          <w:b/>
          <w:bCs/>
          <w:sz w:val="24"/>
          <w:szCs w:val="24"/>
        </w:rPr>
      </w:pPr>
      <w:r>
        <w:rPr>
          <w:rFonts w:hint="eastAsia" w:ascii="仿宋" w:hAnsi="仿宋" w:eastAsia="仿宋" w:cs="仿宋"/>
          <w:b/>
          <w:bCs/>
          <w:sz w:val="24"/>
          <w:szCs w:val="24"/>
        </w:rPr>
        <w:t>价差调整金额计算</w:t>
      </w:r>
      <w:bookmarkStart w:id="0" w:name="_GoBack"/>
      <w:bookmarkEnd w:id="0"/>
    </w:p>
    <w:p w14:paraId="7B5184D5">
      <w:pPr>
        <w:keepNext w:val="0"/>
        <w:keepLines w:val="0"/>
        <w:widowControl/>
        <w:numPr>
          <w:ilvl w:val="0"/>
          <w:numId w:val="0"/>
        </w:numPr>
        <w:suppressLineNumbers w:val="0"/>
        <w:pBdr>
          <w:left w:val="none" w:color="auto" w:sz="0" w:space="0"/>
        </w:pBdr>
        <w:spacing w:before="0" w:beforeAutospacing="0" w:after="0" w:afterAutospacing="0" w:line="19" w:lineRule="atLeast"/>
        <w:ind w:left="-72" w:leftChars="0"/>
        <w:rPr>
          <w:rFonts w:hint="eastAsia" w:ascii="仿宋" w:hAnsi="仿宋" w:eastAsia="仿宋" w:cs="仿宋"/>
          <w:sz w:val="24"/>
          <w:szCs w:val="24"/>
        </w:rPr>
      </w:pPr>
      <w:r>
        <w:rPr>
          <w:rFonts w:hint="eastAsia" w:ascii="仿宋" w:hAnsi="仿宋" w:eastAsia="仿宋" w:cs="仿宋"/>
          <w:sz w:val="24"/>
          <w:szCs w:val="24"/>
        </w:rPr>
        <w:t>当 (Mn - Mo)/Mo×100% &gt; 10% 时：</w:t>
      </w:r>
    </w:p>
    <w:p w14:paraId="2D30EA13">
      <w:pPr>
        <w:keepNext w:val="0"/>
        <w:keepLines w:val="0"/>
        <w:widowControl/>
        <w:numPr>
          <w:ilvl w:val="0"/>
          <w:numId w:val="0"/>
        </w:numPr>
        <w:suppressLineNumbers w:val="0"/>
        <w:pBdr>
          <w:left w:val="none" w:color="auto" w:sz="0" w:space="0"/>
        </w:pBdr>
        <w:spacing w:before="0" w:beforeAutospacing="0" w:after="0" w:afterAutospacing="0" w:line="19" w:lineRule="atLeast"/>
        <w:ind w:left="218" w:leftChars="0"/>
        <w:rPr>
          <w:rFonts w:hint="eastAsia" w:ascii="仿宋" w:hAnsi="仿宋" w:eastAsia="仿宋" w:cs="仿宋"/>
          <w:sz w:val="24"/>
          <w:szCs w:val="24"/>
        </w:rPr>
      </w:pPr>
      <w:r>
        <w:rPr>
          <w:rFonts w:hint="eastAsia" w:ascii="仿宋" w:hAnsi="仿宋" w:eastAsia="仿宋" w:cs="仿宋"/>
          <w:sz w:val="24"/>
          <w:szCs w:val="24"/>
        </w:rPr>
        <w:t>若 10% &lt;(Mn - Mo)/Mo×100% ≤ 20% ，C = Q×[Mn - Mo×(1 + 10%)]×H×V×(1 + T)×50% ；</w:t>
      </w:r>
    </w:p>
    <w:p w14:paraId="33604D60">
      <w:pPr>
        <w:keepNext w:val="0"/>
        <w:keepLines w:val="0"/>
        <w:widowControl/>
        <w:numPr>
          <w:ilvl w:val="0"/>
          <w:numId w:val="0"/>
        </w:numPr>
        <w:suppressLineNumbers w:val="0"/>
        <w:pBdr>
          <w:left w:val="none" w:color="auto" w:sz="0" w:space="0"/>
        </w:pBdr>
        <w:spacing w:before="0" w:beforeAutospacing="0" w:after="0" w:afterAutospacing="0" w:line="19" w:lineRule="atLeast"/>
        <w:ind w:left="218" w:leftChars="0"/>
        <w:rPr>
          <w:rFonts w:hint="eastAsia" w:ascii="仿宋" w:hAnsi="仿宋" w:eastAsia="仿宋" w:cs="仿宋"/>
          <w:sz w:val="24"/>
          <w:szCs w:val="24"/>
        </w:rPr>
      </w:pPr>
      <w:r>
        <w:rPr>
          <w:rFonts w:hint="eastAsia" w:ascii="仿宋" w:hAnsi="仿宋" w:eastAsia="仿宋" w:cs="仿宋"/>
          <w:sz w:val="24"/>
          <w:szCs w:val="24"/>
        </w:rPr>
        <w:t>若 (Mn - Mo)/Mo×100% &gt; 20% ，C = Q×[Mo×(1 + 20%) - Mo×(1 + 10%)]×H×V×(1 + T)×50% + Q×[Mn - Mo×(1 + 20%)]×H×V×(1 + T)×100% 。</w:t>
      </w:r>
    </w:p>
    <w:p w14:paraId="762F9415">
      <w:pPr>
        <w:keepNext w:val="0"/>
        <w:keepLines w:val="0"/>
        <w:widowControl/>
        <w:numPr>
          <w:ilvl w:val="0"/>
          <w:numId w:val="0"/>
        </w:numPr>
        <w:suppressLineNumbers w:val="0"/>
        <w:pBdr>
          <w:left w:val="none" w:color="auto" w:sz="0" w:space="0"/>
        </w:pBdr>
        <w:spacing w:before="0" w:beforeAutospacing="0" w:after="0" w:afterAutospacing="0" w:line="19" w:lineRule="atLeast"/>
        <w:ind w:left="-72" w:leftChars="0"/>
        <w:rPr>
          <w:rFonts w:hint="eastAsia" w:ascii="仿宋" w:hAnsi="仿宋" w:eastAsia="仿宋" w:cs="仿宋"/>
          <w:sz w:val="24"/>
          <w:szCs w:val="24"/>
        </w:rPr>
      </w:pPr>
      <w:r>
        <w:rPr>
          <w:rFonts w:hint="eastAsia" w:ascii="仿宋" w:hAnsi="仿宋" w:eastAsia="仿宋" w:cs="仿宋"/>
          <w:sz w:val="24"/>
          <w:szCs w:val="24"/>
        </w:rPr>
        <w:t>当 (Mn - Mo)/Mo×100% &lt; -10% 时：</w:t>
      </w:r>
    </w:p>
    <w:p w14:paraId="47970E6F">
      <w:pPr>
        <w:keepNext w:val="0"/>
        <w:keepLines w:val="0"/>
        <w:widowControl/>
        <w:numPr>
          <w:ilvl w:val="0"/>
          <w:numId w:val="0"/>
        </w:numPr>
        <w:suppressLineNumbers w:val="0"/>
        <w:pBdr>
          <w:left w:val="none" w:color="auto" w:sz="0" w:space="0"/>
        </w:pBdr>
        <w:spacing w:before="0" w:beforeAutospacing="0" w:after="0" w:afterAutospacing="0" w:line="19" w:lineRule="atLeast"/>
        <w:ind w:left="218" w:leftChars="0"/>
        <w:rPr>
          <w:rFonts w:hint="eastAsia" w:ascii="仿宋" w:hAnsi="仿宋" w:eastAsia="仿宋" w:cs="仿宋"/>
          <w:sz w:val="24"/>
          <w:szCs w:val="24"/>
        </w:rPr>
      </w:pPr>
      <w:r>
        <w:rPr>
          <w:rFonts w:hint="eastAsia" w:ascii="仿宋" w:hAnsi="仿宋" w:eastAsia="仿宋" w:cs="仿宋"/>
          <w:sz w:val="24"/>
          <w:szCs w:val="24"/>
        </w:rPr>
        <w:t>若 - 20% ≤ (Mn - Mo)/Mo×100% &lt; -10% ，C = Q×[Mn - Mo×(1 - 10%)]×H×V×(1 + T)×50% ；</w:t>
      </w:r>
    </w:p>
    <w:p w14:paraId="1DE5B00B">
      <w:pPr>
        <w:keepNext w:val="0"/>
        <w:keepLines w:val="0"/>
        <w:widowControl/>
        <w:numPr>
          <w:ilvl w:val="0"/>
          <w:numId w:val="0"/>
        </w:numPr>
        <w:suppressLineNumbers w:val="0"/>
        <w:pBdr>
          <w:left w:val="none" w:color="auto" w:sz="0" w:space="0"/>
        </w:pBdr>
        <w:spacing w:before="0" w:beforeAutospacing="0" w:after="0" w:afterAutospacing="0" w:line="19" w:lineRule="atLeast"/>
        <w:ind w:left="218" w:leftChars="0"/>
        <w:rPr>
          <w:rFonts w:hint="eastAsia" w:ascii="仿宋" w:hAnsi="仿宋" w:eastAsia="仿宋" w:cs="仿宋"/>
          <w:sz w:val="24"/>
          <w:szCs w:val="24"/>
        </w:rPr>
      </w:pPr>
      <w:r>
        <w:rPr>
          <w:rFonts w:hint="eastAsia" w:ascii="仿宋" w:hAnsi="仿宋" w:eastAsia="仿宋" w:cs="仿宋"/>
          <w:sz w:val="24"/>
          <w:szCs w:val="24"/>
        </w:rPr>
        <w:t>若 (Mn - Mo)/Mo×100% &lt; -20% ，C = Q×[Mo×(1 - 20%) - Mo×(1 - 10%)]×H×V×(1 + T)×50% + Q×[Mn - Mo×(1 - 20%)]×H×V×(1 + T)×100% 。</w:t>
      </w:r>
    </w:p>
    <w:p w14:paraId="48906EE4">
      <w:pPr>
        <w:keepNext w:val="0"/>
        <w:keepLines w:val="0"/>
        <w:widowControl/>
        <w:numPr>
          <w:ilvl w:val="0"/>
          <w:numId w:val="0"/>
        </w:numPr>
        <w:suppressLineNumbers w:val="0"/>
        <w:pBdr>
          <w:left w:val="none" w:color="auto" w:sz="0" w:space="0"/>
        </w:pBdr>
        <w:spacing w:before="0" w:beforeAutospacing="0" w:after="0" w:afterAutospacing="0" w:line="19" w:lineRule="atLeast"/>
        <w:ind w:left="-72" w:leftChars="0"/>
        <w:rPr>
          <w:rFonts w:hint="eastAsia" w:ascii="仿宋" w:hAnsi="仿宋" w:eastAsia="仿宋" w:cs="仿宋"/>
          <w:sz w:val="24"/>
          <w:szCs w:val="24"/>
        </w:rPr>
      </w:pPr>
      <w:r>
        <w:rPr>
          <w:rFonts w:hint="eastAsia" w:ascii="仿宋" w:hAnsi="仿宋" w:eastAsia="仿宋" w:cs="仿宋"/>
          <w:sz w:val="24"/>
          <w:szCs w:val="24"/>
        </w:rPr>
        <w:t>其中：</w:t>
      </w:r>
    </w:p>
    <w:p w14:paraId="789B7F26">
      <w:pPr>
        <w:keepNext w:val="0"/>
        <w:keepLines w:val="0"/>
        <w:widowControl/>
        <w:numPr>
          <w:ilvl w:val="0"/>
          <w:numId w:val="0"/>
        </w:numPr>
        <w:suppressLineNumbers w:val="0"/>
        <w:pBdr>
          <w:left w:val="none" w:color="auto" w:sz="0" w:space="0"/>
        </w:pBdr>
        <w:spacing w:before="0" w:beforeAutospacing="0" w:after="0" w:afterAutospacing="0" w:line="19" w:lineRule="atLeast"/>
        <w:ind w:left="218" w:leftChars="0"/>
        <w:rPr>
          <w:rFonts w:hint="eastAsia" w:ascii="仿宋" w:hAnsi="仿宋" w:eastAsia="仿宋" w:cs="仿宋"/>
          <w:sz w:val="24"/>
          <w:szCs w:val="24"/>
        </w:rPr>
      </w:pPr>
      <w:r>
        <w:rPr>
          <w:rFonts w:hint="eastAsia" w:ascii="仿宋" w:hAnsi="仿宋" w:eastAsia="仿宋" w:cs="仿宋"/>
          <w:sz w:val="24"/>
          <w:szCs w:val="24"/>
        </w:rPr>
        <w:t>C：表示电线电缆价差调整金额；</w:t>
      </w:r>
    </w:p>
    <w:p w14:paraId="17F1BEEF">
      <w:pPr>
        <w:keepNext w:val="0"/>
        <w:keepLines w:val="0"/>
        <w:widowControl/>
        <w:numPr>
          <w:ilvl w:val="0"/>
          <w:numId w:val="0"/>
        </w:numPr>
        <w:suppressLineNumbers w:val="0"/>
        <w:pBdr>
          <w:left w:val="none" w:color="auto" w:sz="0" w:space="0"/>
        </w:pBdr>
        <w:spacing w:before="0" w:beforeAutospacing="0" w:after="0" w:afterAutospacing="0" w:line="19" w:lineRule="atLeast"/>
        <w:ind w:left="218" w:leftChars="0"/>
        <w:rPr>
          <w:rFonts w:hint="eastAsia" w:ascii="仿宋" w:hAnsi="仿宋" w:eastAsia="仿宋" w:cs="仿宋"/>
          <w:sz w:val="24"/>
          <w:szCs w:val="24"/>
        </w:rPr>
      </w:pPr>
      <w:r>
        <w:rPr>
          <w:rFonts w:hint="eastAsia" w:ascii="仿宋" w:hAnsi="仿宋" w:eastAsia="仿宋" w:cs="仿宋"/>
          <w:sz w:val="24"/>
          <w:szCs w:val="24"/>
        </w:rPr>
        <w:t>Q：表示施工时期当月相应材料完成的分部分项工程量；</w:t>
      </w:r>
    </w:p>
    <w:p w14:paraId="7E1D2A91">
      <w:pPr>
        <w:keepNext w:val="0"/>
        <w:keepLines w:val="0"/>
        <w:widowControl/>
        <w:numPr>
          <w:ilvl w:val="0"/>
          <w:numId w:val="0"/>
        </w:numPr>
        <w:suppressLineNumbers w:val="0"/>
        <w:pBdr>
          <w:left w:val="none" w:color="auto" w:sz="0" w:space="0"/>
        </w:pBdr>
        <w:spacing w:before="0" w:beforeAutospacing="0" w:after="0" w:afterAutospacing="0" w:line="19" w:lineRule="atLeast"/>
        <w:ind w:left="218" w:leftChars="0"/>
        <w:rPr>
          <w:rFonts w:hint="eastAsia" w:ascii="仿宋" w:hAnsi="仿宋" w:eastAsia="仿宋" w:cs="仿宋"/>
          <w:sz w:val="24"/>
          <w:szCs w:val="24"/>
        </w:rPr>
      </w:pPr>
      <w:r>
        <w:rPr>
          <w:rFonts w:hint="eastAsia" w:ascii="仿宋" w:hAnsi="仿宋" w:eastAsia="仿宋" w:cs="仿宋"/>
          <w:sz w:val="24"/>
          <w:szCs w:val="24"/>
        </w:rPr>
        <w:t>Mn：表示施工当月上海有色网公布的 1# 电解铜的月平均税前价格；</w:t>
      </w:r>
    </w:p>
    <w:p w14:paraId="7817010F">
      <w:pPr>
        <w:keepNext w:val="0"/>
        <w:keepLines w:val="0"/>
        <w:widowControl/>
        <w:numPr>
          <w:ilvl w:val="0"/>
          <w:numId w:val="0"/>
        </w:numPr>
        <w:suppressLineNumbers w:val="0"/>
        <w:pBdr>
          <w:left w:val="none" w:color="auto" w:sz="0" w:space="0"/>
        </w:pBdr>
        <w:spacing w:before="0" w:beforeAutospacing="0" w:after="0" w:afterAutospacing="0" w:line="19" w:lineRule="atLeast"/>
        <w:ind w:left="218" w:leftChars="0"/>
        <w:rPr>
          <w:rFonts w:hint="eastAsia" w:ascii="仿宋" w:hAnsi="仿宋" w:eastAsia="仿宋" w:cs="仿宋"/>
          <w:sz w:val="24"/>
          <w:szCs w:val="24"/>
        </w:rPr>
      </w:pPr>
      <w:r>
        <w:rPr>
          <w:rFonts w:hint="eastAsia" w:ascii="仿宋" w:hAnsi="仿宋" w:eastAsia="仿宋" w:cs="仿宋"/>
          <w:sz w:val="24"/>
          <w:szCs w:val="24"/>
        </w:rPr>
        <w:t xml:space="preserve">Mo：2025 年 </w:t>
      </w:r>
      <w:r>
        <w:rPr>
          <w:rFonts w:hint="eastAsia" w:ascii="仿宋" w:hAnsi="仿宋" w:eastAsia="仿宋" w:cs="仿宋"/>
          <w:sz w:val="24"/>
          <w:szCs w:val="24"/>
          <w:lang w:val="en-US" w:eastAsia="zh-CN"/>
        </w:rPr>
        <w:t>6</w:t>
      </w:r>
      <w:r>
        <w:rPr>
          <w:rFonts w:hint="eastAsia" w:ascii="仿宋" w:hAnsi="仿宋" w:eastAsia="仿宋" w:cs="仿宋"/>
          <w:sz w:val="24"/>
          <w:szCs w:val="24"/>
        </w:rPr>
        <w:t>月上海有色网公布的 1# 电解铜的月平均税前价格；</w:t>
      </w:r>
    </w:p>
    <w:p w14:paraId="7A53983C">
      <w:pPr>
        <w:keepNext w:val="0"/>
        <w:keepLines w:val="0"/>
        <w:widowControl/>
        <w:numPr>
          <w:ilvl w:val="0"/>
          <w:numId w:val="0"/>
        </w:numPr>
        <w:suppressLineNumbers w:val="0"/>
        <w:pBdr>
          <w:left w:val="none" w:color="auto" w:sz="0" w:space="0"/>
        </w:pBdr>
        <w:spacing w:before="0" w:beforeAutospacing="0" w:after="0" w:afterAutospacing="0" w:line="19" w:lineRule="atLeast"/>
        <w:ind w:left="218" w:leftChars="0"/>
        <w:rPr>
          <w:rFonts w:hint="eastAsia" w:ascii="仿宋" w:hAnsi="仿宋" w:eastAsia="仿宋" w:cs="仿宋"/>
          <w:sz w:val="24"/>
          <w:szCs w:val="24"/>
        </w:rPr>
      </w:pPr>
      <w:r>
        <w:rPr>
          <w:rFonts w:hint="eastAsia" w:ascii="仿宋" w:hAnsi="仿宋" w:eastAsia="仿宋" w:cs="仿宋"/>
          <w:sz w:val="24"/>
          <w:szCs w:val="24"/>
        </w:rPr>
        <w:t>H：表示相应材料的合同清单单位工程量消耗量；</w:t>
      </w:r>
    </w:p>
    <w:p w14:paraId="17BA0BAA">
      <w:pPr>
        <w:keepNext w:val="0"/>
        <w:keepLines w:val="0"/>
        <w:widowControl/>
        <w:numPr>
          <w:ilvl w:val="0"/>
          <w:numId w:val="0"/>
        </w:numPr>
        <w:suppressLineNumbers w:val="0"/>
        <w:pBdr>
          <w:left w:val="none" w:color="auto" w:sz="0" w:space="0"/>
        </w:pBdr>
        <w:spacing w:before="0" w:beforeAutospacing="0" w:after="0" w:afterAutospacing="0" w:line="19" w:lineRule="atLeast"/>
        <w:ind w:left="218" w:leftChars="0"/>
        <w:rPr>
          <w:rFonts w:hint="eastAsia" w:ascii="仿宋" w:hAnsi="仿宋" w:eastAsia="仿宋" w:cs="仿宋"/>
          <w:sz w:val="24"/>
          <w:szCs w:val="24"/>
        </w:rPr>
      </w:pPr>
      <w:r>
        <w:rPr>
          <w:rFonts w:hint="eastAsia" w:ascii="仿宋" w:hAnsi="仿宋" w:eastAsia="仿宋" w:cs="仿宋"/>
          <w:sz w:val="24"/>
          <w:szCs w:val="24"/>
        </w:rPr>
        <w:t>V：即每米产品铜的净重（吨 / 米），电线电缆每米铜重量（吨） = 电线电缆公称截面积</w:t>
      </w:r>
      <w:r>
        <w:rPr>
          <w:rFonts w:hint="eastAsia" w:ascii="仿宋" w:hAnsi="仿宋" w:eastAsia="仿宋" w:cs="仿宋"/>
          <w:sz w:val="24"/>
          <w:szCs w:val="24"/>
          <w:lang w:val="en-US" w:eastAsia="zh-CN"/>
        </w:rPr>
        <w:t>*</w:t>
      </w:r>
      <w:r>
        <w:rPr>
          <w:rFonts w:hint="eastAsia" w:ascii="微软雅黑" w:hAnsi="微软雅黑" w:eastAsia="微软雅黑" w:cs="微软雅黑"/>
          <w:b w:val="0"/>
          <w:bCs w:val="0"/>
          <w:i w:val="0"/>
          <w:iCs w:val="0"/>
          <w:sz w:val="24"/>
          <w:szCs w:val="24"/>
        </w:rPr>
        <w:t>8.9</w:t>
      </w:r>
      <w:r>
        <w:rPr>
          <w:rFonts w:hint="eastAsia" w:ascii="微软雅黑" w:hAnsi="微软雅黑" w:eastAsia="微软雅黑" w:cs="微软雅黑"/>
          <w:i/>
          <w:iCs/>
          <w:sz w:val="24"/>
          <w:szCs w:val="24"/>
          <w:lang w:val="en-US" w:eastAsia="zh-CN"/>
        </w:rPr>
        <w:t>*</w:t>
      </w:r>
      <w:r>
        <w:rPr>
          <w:rFonts w:hint="eastAsia" w:ascii="微软雅黑" w:hAnsi="微软雅黑" w:eastAsia="微软雅黑" w:cs="微软雅黑"/>
          <w:sz w:val="24"/>
          <w:szCs w:val="24"/>
        </w:rPr>
        <w:t>10</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⁻⁶</w:t>
      </w:r>
      <w:r>
        <w:rPr>
          <w:rFonts w:hint="eastAsia" w:ascii="仿宋" w:hAnsi="仿宋" w:eastAsia="仿宋" w:cs="仿宋"/>
          <w:sz w:val="24"/>
          <w:szCs w:val="24"/>
        </w:rPr>
        <w:t>；</w:t>
      </w:r>
    </w:p>
    <w:p w14:paraId="71F02C04">
      <w:pPr>
        <w:keepNext w:val="0"/>
        <w:keepLines w:val="0"/>
        <w:widowControl/>
        <w:numPr>
          <w:ilvl w:val="0"/>
          <w:numId w:val="0"/>
        </w:numPr>
        <w:suppressLineNumbers w:val="0"/>
        <w:pBdr>
          <w:left w:val="none" w:color="auto" w:sz="0" w:space="0"/>
        </w:pBdr>
        <w:spacing w:before="0" w:beforeAutospacing="0" w:after="0" w:afterAutospacing="0" w:line="19" w:lineRule="atLeast"/>
        <w:ind w:left="218" w:leftChars="0"/>
        <w:rPr>
          <w:rFonts w:hint="eastAsia" w:ascii="仿宋" w:hAnsi="仿宋" w:eastAsia="仿宋" w:cs="仿宋"/>
          <w:sz w:val="24"/>
          <w:szCs w:val="24"/>
        </w:rPr>
      </w:pPr>
      <w:r>
        <w:rPr>
          <w:rFonts w:hint="eastAsia" w:ascii="仿宋" w:hAnsi="仿宋" w:eastAsia="仿宋" w:cs="仿宋"/>
          <w:sz w:val="24"/>
          <w:szCs w:val="24"/>
        </w:rPr>
        <w:t>T：表示增值税率。</w:t>
      </w:r>
    </w:p>
    <w:p w14:paraId="0DF3315D">
      <w:pPr>
        <w:keepNext w:val="0"/>
        <w:keepLines w:val="0"/>
        <w:widowControl/>
        <w:numPr>
          <w:ilvl w:val="0"/>
          <w:numId w:val="0"/>
        </w:numPr>
        <w:suppressLineNumbers w:val="0"/>
        <w:pBdr>
          <w:left w:val="none" w:color="auto" w:sz="0" w:space="0"/>
        </w:pBdr>
        <w:spacing w:before="0" w:beforeAutospacing="0" w:after="0" w:afterAutospacing="0" w:line="19" w:lineRule="atLeast"/>
        <w:ind w:left="-360" w:leftChars="0"/>
        <w:rPr>
          <w:rFonts w:hint="eastAsia" w:ascii="仿宋" w:hAnsi="仿宋" w:eastAsia="仿宋" w:cs="仿宋"/>
          <w:b/>
          <w:bCs/>
          <w:sz w:val="24"/>
          <w:szCs w:val="24"/>
        </w:rPr>
      </w:pPr>
      <w:r>
        <w:rPr>
          <w:rFonts w:hint="eastAsia" w:ascii="仿宋" w:hAnsi="仿宋" w:eastAsia="仿宋" w:cs="仿宋"/>
          <w:b/>
          <w:bCs/>
          <w:sz w:val="24"/>
          <w:szCs w:val="24"/>
        </w:rPr>
        <w:t>其他相关规定</w:t>
      </w:r>
      <w:r>
        <w:rPr>
          <w:rFonts w:hint="eastAsia" w:ascii="仿宋" w:hAnsi="仿宋" w:eastAsia="仿宋" w:cs="仿宋"/>
          <w:b/>
          <w:bCs/>
          <w:sz w:val="24"/>
          <w:szCs w:val="24"/>
          <w:lang w:eastAsia="zh-CN"/>
        </w:rPr>
        <w:t>：</w:t>
      </w:r>
    </w:p>
    <w:p w14:paraId="5E755235">
      <w:pPr>
        <w:keepNext w:val="0"/>
        <w:keepLines w:val="0"/>
        <w:widowControl/>
        <w:numPr>
          <w:ilvl w:val="0"/>
          <w:numId w:val="1"/>
        </w:numPr>
        <w:suppressLineNumbers w:val="0"/>
        <w:pBdr>
          <w:left w:val="none" w:color="auto" w:sz="0" w:space="0"/>
        </w:pBdr>
        <w:spacing w:before="0" w:beforeAutospacing="0" w:after="0" w:afterAutospacing="0" w:line="19" w:lineRule="atLeas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上述价差的调整仅适用于分部分项工程量清单主材，除此以外其它性质的材料（如辅材中的材料）不进行价差调整。</w:t>
      </w:r>
    </w:p>
    <w:p w14:paraId="47F3C553">
      <w:pPr>
        <w:keepNext w:val="0"/>
        <w:keepLines w:val="0"/>
        <w:widowControl/>
        <w:numPr>
          <w:ilvl w:val="0"/>
          <w:numId w:val="1"/>
        </w:numPr>
        <w:suppressLineNumbers w:val="0"/>
        <w:pBdr>
          <w:left w:val="none" w:color="auto" w:sz="0" w:space="0"/>
        </w:pBdr>
        <w:spacing w:before="0" w:beforeAutospacing="0" w:after="0" w:afterAutospacing="0" w:line="19" w:lineRule="atLeas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除以上所述人工、材料可调整价差外，合同单价及合价不会因任何材料价格、工程设备、机械台班、人工及汇率等的变动而调整。</w:t>
      </w:r>
    </w:p>
    <w:p w14:paraId="539BCC93">
      <w:pPr>
        <w:keepNext w:val="0"/>
        <w:keepLines w:val="0"/>
        <w:widowControl/>
        <w:numPr>
          <w:ilvl w:val="0"/>
          <w:numId w:val="1"/>
        </w:numPr>
        <w:suppressLineNumbers w:val="0"/>
        <w:pBdr>
          <w:left w:val="none" w:color="auto" w:sz="0" w:space="0"/>
        </w:pBdr>
        <w:spacing w:before="0" w:beforeAutospacing="0" w:after="0" w:afterAutospacing="0" w:line="19" w:lineRule="atLeas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以上调差按月进行申报</w:t>
      </w:r>
      <w:r>
        <w:rPr>
          <w:rFonts w:hint="eastAsia" w:ascii="仿宋" w:hAnsi="仿宋" w:eastAsia="仿宋" w:cs="仿宋"/>
          <w:sz w:val="24"/>
          <w:szCs w:val="24"/>
          <w:lang w:val="en-US" w:eastAsia="zh-CN"/>
        </w:rPr>
        <w:t>确认</w:t>
      </w:r>
      <w:r>
        <w:rPr>
          <w:rFonts w:hint="eastAsia" w:ascii="仿宋" w:hAnsi="仿宋" w:eastAsia="仿宋" w:cs="仿宋"/>
          <w:sz w:val="24"/>
          <w:szCs w:val="24"/>
        </w:rPr>
        <w:t>，每月的价差的调整，必须在下月内提出，不得累计到再下一月或结算阶段</w:t>
      </w:r>
      <w:r>
        <w:rPr>
          <w:rFonts w:hint="eastAsia" w:ascii="仿宋" w:hAnsi="仿宋" w:eastAsia="仿宋" w:cs="仿宋"/>
          <w:sz w:val="24"/>
          <w:szCs w:val="24"/>
          <w:lang w:val="en-US" w:eastAsia="zh-CN"/>
        </w:rPr>
        <w:t>在申报确认</w:t>
      </w:r>
      <w:r>
        <w:rPr>
          <w:rFonts w:hint="eastAsia" w:ascii="仿宋" w:hAnsi="仿宋" w:eastAsia="仿宋" w:cs="仿宋"/>
          <w:sz w:val="24"/>
          <w:szCs w:val="24"/>
        </w:rPr>
        <w:t>。</w:t>
      </w:r>
    </w:p>
    <w:p w14:paraId="226BBDB3">
      <w:pPr>
        <w:keepNext w:val="0"/>
        <w:keepLines w:val="0"/>
        <w:widowControl/>
        <w:numPr>
          <w:ilvl w:val="0"/>
          <w:numId w:val="1"/>
        </w:numPr>
        <w:suppressLineNumbers w:val="0"/>
        <w:pBdr>
          <w:left w:val="none" w:color="auto" w:sz="0" w:space="0"/>
        </w:pBdr>
        <w:spacing w:before="0" w:beforeAutospacing="0" w:after="0" w:afterAutospacing="0" w:line="19" w:lineRule="atLeas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合同工期发生延误的，若因发包人原因导致工期延长或发包人同意工期延长的，按实际实施工程的时间为计算依据；若因承包人原因导致工期延长的，按计划进度日期和实际进度日期两者内人工及材料单价较低价的日期为计算依据计。</w:t>
      </w:r>
    </w:p>
    <w:p w14:paraId="747C72ED">
      <w:pPr>
        <w:keepNext w:val="0"/>
        <w:keepLines w:val="0"/>
        <w:widowControl/>
        <w:numPr>
          <w:ilvl w:val="0"/>
          <w:numId w:val="1"/>
        </w:numPr>
        <w:suppressLineNumbers w:val="0"/>
        <w:pBdr>
          <w:left w:val="none" w:color="auto" w:sz="0" w:space="0"/>
        </w:pBdr>
        <w:spacing w:before="0" w:beforeAutospacing="0" w:after="0" w:afterAutospacing="0" w:line="19" w:lineRule="atLeas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价差调整金额仅计取增值税金，除此之外的调差部分所涉及的管理费、利润、规费及其他任何费用均已包含在调整金额中，不再另行计取。</w:t>
      </w:r>
    </w:p>
    <w:p w14:paraId="70072AF6">
      <w:pPr>
        <w:keepNext w:val="0"/>
        <w:keepLines w:val="0"/>
        <w:widowControl/>
        <w:numPr>
          <w:ilvl w:val="0"/>
          <w:numId w:val="1"/>
        </w:numPr>
        <w:suppressLineNumbers w:val="0"/>
        <w:pBdr>
          <w:left w:val="none" w:color="auto" w:sz="0" w:space="0"/>
        </w:pBdr>
        <w:spacing w:before="0" w:beforeAutospacing="0" w:after="0" w:afterAutospacing="0" w:line="19" w:lineRule="atLeast"/>
        <w:ind w:left="425" w:leftChars="0" w:hanging="425" w:firstLineChars="0"/>
        <w:rPr>
          <w:rFonts w:hint="eastAsia" w:ascii="仿宋" w:hAnsi="仿宋" w:eastAsia="仿宋" w:cs="仿宋"/>
          <w:sz w:val="24"/>
          <w:szCs w:val="24"/>
        </w:rPr>
      </w:pPr>
      <w:r>
        <w:rPr>
          <w:rFonts w:hint="eastAsia" w:ascii="仿宋" w:hAnsi="仿宋" w:eastAsia="仿宋" w:cs="仿宋"/>
          <w:sz w:val="24"/>
          <w:szCs w:val="24"/>
        </w:rPr>
        <w:t>调差应按中标价格清单所划分的业态进行计算。</w:t>
      </w:r>
    </w:p>
    <w:p w14:paraId="33208827">
      <w:pPr>
        <w:rPr>
          <w:rFonts w:hint="default" w:ascii="仿宋" w:hAnsi="仿宋" w:eastAsia="仿宋" w:cs="仿宋"/>
          <w:sz w:val="24"/>
          <w:lang w:val="en-US" w:eastAsia="zh-CN"/>
        </w:rPr>
      </w:pPr>
    </w:p>
    <w:p w14:paraId="27F9A17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66"/>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5ED05"/>
    <w:multiLevelType w:val="singleLevel"/>
    <w:tmpl w:val="8215ED05"/>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A725B4"/>
    <w:rsid w:val="017E2A82"/>
    <w:rsid w:val="01D152A8"/>
    <w:rsid w:val="038F71C9"/>
    <w:rsid w:val="05EA2DDC"/>
    <w:rsid w:val="07612C2A"/>
    <w:rsid w:val="08955068"/>
    <w:rsid w:val="08AF5C17"/>
    <w:rsid w:val="08D37B58"/>
    <w:rsid w:val="09153CCC"/>
    <w:rsid w:val="0A4C7BC2"/>
    <w:rsid w:val="0ABB08A3"/>
    <w:rsid w:val="0B974E6D"/>
    <w:rsid w:val="0C122745"/>
    <w:rsid w:val="0EF83E74"/>
    <w:rsid w:val="0F0E7B3C"/>
    <w:rsid w:val="131F0F0E"/>
    <w:rsid w:val="13CC58CF"/>
    <w:rsid w:val="13D604FC"/>
    <w:rsid w:val="153951E6"/>
    <w:rsid w:val="1676588E"/>
    <w:rsid w:val="177469AA"/>
    <w:rsid w:val="188449CB"/>
    <w:rsid w:val="1904356C"/>
    <w:rsid w:val="1A4F2DB6"/>
    <w:rsid w:val="1A9B5FFB"/>
    <w:rsid w:val="1AAB7DA3"/>
    <w:rsid w:val="1AF37BE5"/>
    <w:rsid w:val="1B416BA3"/>
    <w:rsid w:val="1C4C57FF"/>
    <w:rsid w:val="1C687C73"/>
    <w:rsid w:val="1D7C2114"/>
    <w:rsid w:val="1FD77AD6"/>
    <w:rsid w:val="209A57CC"/>
    <w:rsid w:val="232C1EE7"/>
    <w:rsid w:val="23812232"/>
    <w:rsid w:val="24F904EE"/>
    <w:rsid w:val="25EB7E37"/>
    <w:rsid w:val="295201CD"/>
    <w:rsid w:val="2C8E776E"/>
    <w:rsid w:val="2E7110F5"/>
    <w:rsid w:val="2F2148C9"/>
    <w:rsid w:val="3112096E"/>
    <w:rsid w:val="326E6078"/>
    <w:rsid w:val="33C00B55"/>
    <w:rsid w:val="38EF77E6"/>
    <w:rsid w:val="38F17A02"/>
    <w:rsid w:val="3A5169AB"/>
    <w:rsid w:val="3B9D5C20"/>
    <w:rsid w:val="3DF15DAF"/>
    <w:rsid w:val="3EAB2402"/>
    <w:rsid w:val="3F185CE9"/>
    <w:rsid w:val="3FD17C46"/>
    <w:rsid w:val="40036E80"/>
    <w:rsid w:val="41517290"/>
    <w:rsid w:val="418807D8"/>
    <w:rsid w:val="41F8770C"/>
    <w:rsid w:val="42B76367"/>
    <w:rsid w:val="449D6681"/>
    <w:rsid w:val="46F74436"/>
    <w:rsid w:val="47094169"/>
    <w:rsid w:val="47AA76FA"/>
    <w:rsid w:val="4AAE12AF"/>
    <w:rsid w:val="4ADF5065"/>
    <w:rsid w:val="4D92310A"/>
    <w:rsid w:val="4E6A373F"/>
    <w:rsid w:val="4FC6709B"/>
    <w:rsid w:val="50106568"/>
    <w:rsid w:val="50BE7D72"/>
    <w:rsid w:val="50E7551B"/>
    <w:rsid w:val="51112598"/>
    <w:rsid w:val="51121E6C"/>
    <w:rsid w:val="5196484B"/>
    <w:rsid w:val="524E5126"/>
    <w:rsid w:val="5257047F"/>
    <w:rsid w:val="537312E8"/>
    <w:rsid w:val="53E0418A"/>
    <w:rsid w:val="53FA7313"/>
    <w:rsid w:val="54492049"/>
    <w:rsid w:val="54554E92"/>
    <w:rsid w:val="54F55D2D"/>
    <w:rsid w:val="55230AEC"/>
    <w:rsid w:val="57460AC2"/>
    <w:rsid w:val="590B5B1F"/>
    <w:rsid w:val="594F6BC1"/>
    <w:rsid w:val="59FB5B93"/>
    <w:rsid w:val="5A8C2C8F"/>
    <w:rsid w:val="5B1259FA"/>
    <w:rsid w:val="5BB029AE"/>
    <w:rsid w:val="5CC04E72"/>
    <w:rsid w:val="5D3F66DF"/>
    <w:rsid w:val="5F5875E4"/>
    <w:rsid w:val="657E215B"/>
    <w:rsid w:val="66410DD2"/>
    <w:rsid w:val="66884C53"/>
    <w:rsid w:val="66A725B4"/>
    <w:rsid w:val="680227E3"/>
    <w:rsid w:val="6864524C"/>
    <w:rsid w:val="6AF8712D"/>
    <w:rsid w:val="6C7C0DB6"/>
    <w:rsid w:val="6DA265FA"/>
    <w:rsid w:val="6F965739"/>
    <w:rsid w:val="6F9C52CB"/>
    <w:rsid w:val="76607052"/>
    <w:rsid w:val="7AAC4F5C"/>
    <w:rsid w:val="7E7F6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963</Words>
  <Characters>1206</Characters>
  <Lines>0</Lines>
  <Paragraphs>0</Paragraphs>
  <TotalTime>0</TotalTime>
  <ScaleCrop>false</ScaleCrop>
  <LinksUpToDate>false</LinksUpToDate>
  <CharactersWithSpaces>1327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2025-06-12T06:19:00Z</dcterms:created>
  <dc:creator>强</dc:creator>
  <cp:lastModifiedBy>张东东</cp:lastModifiedBy>
  <dcterms:modified xsi:type="dcterms:W3CDTF">2025-06-13T02:32:11Z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553424BA3C114C5C8A18A07A82BB8B78_13</vt:lpwstr>
  </property>
  <property fmtid="{D5CDD505-2E9C-101B-9397-08002B2CF9AE}" pid="4" name="KSOTemplateDocerSaveRecord">
    <vt:lpwstr>eyJoZGlkIjoiYjdhNzY2ZjRhNGRlMTI4Yzc4MjdlMTZiMjAwMmEwMDMiLCJ1c2VySWQiOiI0NDYzMzEwMTQifQ==</vt:lpwstr>
  </property>
</Properties>
</file>